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35" w:rsidRPr="00742735" w:rsidRDefault="00742735" w:rsidP="007427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4273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42735" w:rsidRPr="00742735" w:rsidRDefault="00742735" w:rsidP="00742735">
      <w:pPr>
        <w:shd w:val="clear" w:color="auto" w:fill="FFFFFF"/>
        <w:spacing w:after="0" w:line="288" w:lineRule="atLeast"/>
        <w:jc w:val="center"/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</w:pP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742735" w:rsidRDefault="00742735" w:rsidP="00742735">
      <w:pPr>
        <w:shd w:val="clear" w:color="auto" w:fill="FFFFFF"/>
        <w:spacing w:after="0" w:line="288" w:lineRule="atLeast"/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</w:pP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>        Консультирование осуществляется по обращениям контролируемых лиц и их представителей.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 xml:space="preserve">        Консультирование может осуществляться должностным лицом </w:t>
      </w:r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органа муниципального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 xml:space="preserve"> контроля</w:t>
      </w:r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 xml:space="preserve"> в сфере благоустройства по телефону, 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на личном приеме либо в ходе проведения профилактического мероприятия, контрольного (надзорного) мероприятия в устной форме.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>        Консультирование осуществляется по следующим вопросам: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>        1) 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</w:t>
      </w:r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ниципального контроля в сфере благоустройства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;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>        2) разъяснение положений нормативных правовых актов, муниципальных правовых актов, регламентирующих порядок осуществ</w:t>
      </w:r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ления муниципального контроля в сфере благоустройства;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>        3) порядок обжалования решений уполномоченных органов, действий (бездействия) должностных лиц, осущес</w:t>
      </w:r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 xml:space="preserve">твляющих муниципальный 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контроль</w:t>
      </w:r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 xml:space="preserve"> в сфере благоустройства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;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>        4) выполнение предписания, выданного по итогам контрольного (надзорного) мероприятия.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>       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742735" w:rsidRPr="00742735" w:rsidRDefault="00742735" w:rsidP="0074273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        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 Консультирование в письменной форме осуществляется должностным лицом контрольного органа в следующих случаях: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>        1) контролируемым лицом представлен письменный запрос о предоставлении письменного ответа по вопросам консультирования;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>        2) за время устного консультирования предоставить ответ на поставленные вопросы невозможно;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 xml:space="preserve">        3) ответ на поставленные вопросы требует дополнительного запроса сведений в рамках межведомственного информационного 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lastRenderedPageBreak/>
        <w:t>взаимодействия.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 xml:space="preserve">        Если поставленные во время консультирования вопросы не относятся к </w:t>
      </w:r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 xml:space="preserve">сфере муниципального 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контроля</w:t>
      </w:r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 xml:space="preserve"> в сфере благоустройства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, должностным лицом даются необходимые разъяснения по обращению в соответствующие органы власти или к соответствующим должностным лицам.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>        В целях получения консультаций можно обратиться в</w:t>
      </w:r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 xml:space="preserve"> администрацию Красноярского городского поселения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>        </w:t>
      </w:r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- по телефону 8 (84454)-6-11-94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  <w:t xml:space="preserve">        - </w:t>
      </w:r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 xml:space="preserve">по адресу: </w:t>
      </w:r>
      <w:proofErr w:type="gramStart"/>
      <w:r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t>Волгоградская область, Жирновский район, р. п. Красный Яр, ул. Пушкина, д. 1.</w:t>
      </w:r>
      <w:r w:rsidRPr="00742735">
        <w:rPr>
          <w:rFonts w:ascii="FuturaNewBook" w:eastAsia="Times New Roman" w:hAnsi="FuturaNewBook" w:cs="Times New Roman"/>
          <w:color w:val="000000"/>
          <w:sz w:val="32"/>
          <w:szCs w:val="32"/>
          <w:lang w:eastAsia="ru-RU"/>
        </w:rPr>
        <w:br/>
      </w:r>
      <w:proofErr w:type="gramEnd"/>
    </w:p>
    <w:p w:rsidR="00785814" w:rsidRDefault="00785814">
      <w:bookmarkStart w:id="0" w:name="_GoBack"/>
      <w:bookmarkEnd w:id="0"/>
    </w:p>
    <w:sectPr w:rsidR="0078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90"/>
    <w:rsid w:val="003553A9"/>
    <w:rsid w:val="00586A90"/>
    <w:rsid w:val="00742735"/>
    <w:rsid w:val="007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7536">
              <w:marLeft w:val="0"/>
              <w:marRight w:val="0"/>
              <w:marTop w:val="0"/>
              <w:marBottom w:val="0"/>
              <w:divBdr>
                <w:top w:val="single" w:sz="6" w:space="0" w:color="91A7B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2022-10-06T10:31:00Z</dcterms:created>
  <dcterms:modified xsi:type="dcterms:W3CDTF">2022-10-06T10:31:00Z</dcterms:modified>
</cp:coreProperties>
</file>